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2"/>
        <w:widowControl/>
        <w:ind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Приложение № 6.2.</w:t>
      </w:r>
    </w:p>
    <w:p>
      <w:pPr>
        <w:pStyle w:val="Normal"/>
        <w:ind w:left="4820" w:hanging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муниципальной программе   «Обеспечение транспортной доступности и коммунальными услугами граждан</w:t>
      </w:r>
      <w:r>
        <w:rPr>
          <w:rFonts w:ascii="Times New Roman" w:hAnsi="Times New Roman"/>
          <w:bCs/>
          <w:sz w:val="28"/>
          <w:szCs w:val="28"/>
        </w:rPr>
        <w:t xml:space="preserve">» </w:t>
      </w:r>
    </w:p>
    <w:p>
      <w:pPr>
        <w:pStyle w:val="Normal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</w:t>
      </w:r>
    </w:p>
    <w:p>
      <w:pPr>
        <w:pStyle w:val="ListParagraph"/>
        <w:widowControl w:val="false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ПАСПОРТ ПОДПРОГРАММЫ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«Проведение мероприятий, направленных на сохранение и улучшение транспортно-эксплуатационного состояния улично-дорожной сети сельского поселения</w:t>
      </w:r>
      <w:r>
        <w:rPr>
          <w:rFonts w:cs="Times New Roman" w:ascii="Times New Roman" w:hAnsi="Times New Roman"/>
          <w:b/>
          <w:bCs/>
          <w:sz w:val="32"/>
          <w:szCs w:val="32"/>
        </w:rPr>
        <w:t>»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</w:r>
    </w:p>
    <w:tbl>
      <w:tblPr>
        <w:tblW w:w="9923" w:type="dxa"/>
        <w:jc w:val="left"/>
        <w:tblInd w:w="-12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20" w:type="dxa"/>
          <w:bottom w:w="0" w:type="dxa"/>
          <w:right w:w="75" w:type="dxa"/>
        </w:tblCellMar>
        <w:tblLook w:val="0000"/>
      </w:tblPr>
      <w:tblGrid>
        <w:gridCol w:w="2924"/>
        <w:gridCol w:w="6998"/>
      </w:tblGrid>
      <w:tr>
        <w:trPr>
          <w:trHeight w:val="600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ConsPlusCel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ConsPlusCel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«Проведение мероприятий, направленных на сохранение и улучшение транспортно-эксплуатационного состояния улично-дорожной сети сельского поселения» (далее -подпрограмма)</w:t>
            </w:r>
          </w:p>
        </w:tc>
      </w:tr>
      <w:tr>
        <w:trPr>
          <w:trHeight w:val="600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ConsPlusCel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Обеспечение транспортной доступности и коммунальными услугами граждан</w:t>
            </w: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 xml:space="preserve">» </w:t>
            </w:r>
          </w:p>
        </w:tc>
      </w:tr>
      <w:tr>
        <w:trPr>
          <w:trHeight w:val="701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ConsPlusCel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Исполнитель</w:t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ConsPlusCel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администрация сельсовета</w:t>
            </w:r>
          </w:p>
          <w:p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47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ConsPlusCel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Цель                   </w:t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hd w:val="clear" w:color="auto" w:fill="FFFFFF"/>
              <w:ind w:left="5" w:right="61" w:firstLine="5"/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Бесперебойное и безопасное движение транспортных средств по улично-дорожной сети сельского поселения</w:t>
            </w:r>
          </w:p>
        </w:tc>
      </w:tr>
      <w:tr>
        <w:trPr>
          <w:trHeight w:val="966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ConsPlusCel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Задача                 </w:t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01"/>
              <w:spacing w:before="0" w:after="0"/>
              <w:ind w:hanging="0"/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cs="Times New Roman" w:ascii="Times New Roman" w:hAnsi="Times New Roman"/>
              </w:rPr>
              <w:t>Обеспечение бесперебойного и безопасного движения транспортных средств по улично-дорожной сети сельского поселения</w:t>
            </w:r>
          </w:p>
        </w:tc>
      </w:tr>
      <w:tr>
        <w:trPr>
          <w:trHeight w:val="1018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ConsPlusCel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Целевые индикаторы и   </w:t>
              <w:br/>
              <w:t>показатели подпрограммы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numPr>
                <w:ilvl w:val="0"/>
                <w:numId w:val="0"/>
              </w:numPr>
              <w:ind w:hanging="0"/>
              <w:outlineLvl w:val="1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Перечень и значения целевых индикаторов приведены в приложении № 1</w:t>
            </w:r>
          </w:p>
        </w:tc>
      </w:tr>
      <w:tr>
        <w:trPr>
          <w:trHeight w:val="600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ConsPlusCel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Сроки          </w:t>
              <w:br/>
              <w:t xml:space="preserve">реализации             </w:t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ConsPlusCel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2014-2018 годы</w:t>
            </w:r>
          </w:p>
          <w:p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684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ConsPlusCel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Объемы бюджетных       </w:t>
              <w:br/>
              <w:t xml:space="preserve">ассигнований           </w:t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Планируемое финансирование подпрограммных мероприятий составляет 2 698 348,21 руб., в том числе:</w:t>
            </w:r>
          </w:p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 счет средств краевого бюджета 1 69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6 150,57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руб., из них:</w:t>
            </w:r>
          </w:p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2014 год – 21 834 руб.;</w:t>
            </w:r>
          </w:p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2015 год – 853 331 руб.;</w:t>
            </w:r>
          </w:p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2016 год – 823 960,0 руб.;</w:t>
            </w:r>
          </w:p>
          <w:p>
            <w:pPr>
              <w:pStyle w:val="ConsPlusCel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2017 год – 0,00 руб.;</w:t>
            </w:r>
          </w:p>
          <w:p>
            <w:pPr>
              <w:pStyle w:val="ConsPlusCel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2018 год – 0,00 руб.</w:t>
            </w:r>
          </w:p>
          <w:p>
            <w:pPr>
              <w:pStyle w:val="ConsPlusCel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за счет средств бюджета поселения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989 370,55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руб.,             из них: </w:t>
            </w:r>
          </w:p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2014 год – 130 034,81 руб.;</w:t>
            </w:r>
          </w:p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2015 год – 270 934,40 руб.;</w:t>
            </w:r>
          </w:p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2016 год –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381 401,34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руб.;</w:t>
            </w:r>
          </w:p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2017 год – 101 900 руб.;</w:t>
            </w:r>
          </w:p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2018 год – 105 100 руб.</w:t>
            </w:r>
          </w:p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 том числе средств дорожного фонда 511 033,40руб.,                 из них:</w:t>
            </w:r>
          </w:p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2014 год – 87 300 руб.;</w:t>
            </w:r>
          </w:p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2015 год – 89 733,40 руб.;</w:t>
            </w:r>
          </w:p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2016 год – 127 000 руб.;</w:t>
            </w:r>
          </w:p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2017 год – 101 900 руб.;</w:t>
            </w:r>
          </w:p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2018 год – 105 100 руб.</w:t>
            </w:r>
          </w:p>
        </w:tc>
      </w:tr>
      <w:tr>
        <w:trPr>
          <w:trHeight w:val="267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ConsPlusCel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Система организации контроля за исполнением подпрограммы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администрация сельсовета;</w:t>
            </w:r>
          </w:p>
          <w:p>
            <w:pPr>
              <w:pStyle w:val="Norma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Контрольно-счетный орган Шарыповского района</w:t>
            </w:r>
          </w:p>
        </w:tc>
      </w:tr>
    </w:tbl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firstLine="567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2. ОСНОВНЫЕ РАЗДЕЛЫ ПОДПРОГРАММЫ</w:t>
      </w:r>
    </w:p>
    <w:p>
      <w:pPr>
        <w:pStyle w:val="ListParagraph"/>
        <w:widowControl w:val="false"/>
        <w:ind w:left="928" w:firstLine="567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numPr>
          <w:ilvl w:val="1"/>
          <w:numId w:val="1"/>
        </w:numPr>
        <w:ind w:left="0" w:firstLine="567"/>
        <w:jc w:val="center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Постановка проблемы и обоснование необходимости разработки подпрограммы</w:t>
      </w:r>
    </w:p>
    <w:p>
      <w:pPr>
        <w:pStyle w:val="Normal"/>
        <w:widowControl w:val="false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numPr>
          <w:ilvl w:val="2"/>
          <w:numId w:val="4"/>
        </w:numPr>
        <w:ind w:firstLine="567"/>
        <w:jc w:val="center"/>
        <w:outlineLvl w:val="1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Объективные показатели, характеризующие положение дел</w:t>
      </w:r>
    </w:p>
    <w:p>
      <w:pPr>
        <w:pStyle w:val="Normal"/>
        <w:numPr>
          <w:ilvl w:val="0"/>
          <w:numId w:val="0"/>
        </w:numPr>
        <w:ind w:left="1080" w:firstLine="567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rFonts w:cs="Times New Roman" w:ascii="Times New Roman" w:hAnsi="Times New Roman"/>
          <w:sz w:val="28"/>
          <w:szCs w:val="28"/>
        </w:rPr>
        <w:t>Общая протяженность улично-дорожной сети Шушенского сельсовета по состоянию на 01 января 2013 года составила 12,9 километров,              в  2015 году увеличилось на 0,5 километров по состоянию на 01 января 2016 года составляет 13,4 километров том числе:</w:t>
      </w:r>
    </w:p>
    <w:p>
      <w:pPr>
        <w:pStyle w:val="Normal"/>
        <w:rPr/>
      </w:pPr>
      <w:r>
        <w:rPr>
          <w:rFonts w:cs="Times New Roman" w:ascii="Times New Roman" w:hAnsi="Times New Roman"/>
          <w:sz w:val="28"/>
          <w:szCs w:val="28"/>
        </w:rPr>
        <w:t>0,8 км (6 %) – с усовершенствованным типом покрытия (асфальт /бетон);</w:t>
      </w:r>
    </w:p>
    <w:p>
      <w:pPr>
        <w:pStyle w:val="Normal"/>
        <w:rPr/>
      </w:pPr>
      <w:r>
        <w:rPr>
          <w:rFonts w:cs="Times New Roman" w:ascii="Times New Roman" w:hAnsi="Times New Roman"/>
          <w:sz w:val="28"/>
          <w:szCs w:val="28"/>
        </w:rPr>
        <w:t>12,6 км (94 %) – с гравийно-щебенистым типом покрытия;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условиях социально-экономического развития сфера применения автомобильного транспорта интенсивно расширяется. Автотранспорт занимает доминирующее положение в перевозках на средние расстояния</w:t>
        <w:br/>
        <w:t xml:space="preserve">и особенно в перевозках на короткие расстояния. </w:t>
      </w:r>
    </w:p>
    <w:p>
      <w:pPr>
        <w:pStyle w:val="Normal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Дальнейший рост объемов перевозок на автомобильном транспорте  будет связан с увеличением объемов производства, развитием предпринимательской деятельности, расширением сферы услуг, повышением уровня жизни населения. При этом следует отметить, что меняется и структура парка транспортных средств, так, увеличивается удельный вес крупнотоннажных грузовых автомобилей (перевозка угля) во время сезонных работ (перевоз зерна), что обуславливает необходимость повышения капитальности дорог.</w:t>
      </w:r>
    </w:p>
    <w:p>
      <w:pPr>
        <w:pStyle w:val="BodyTextIndent3"/>
        <w:spacing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1F497D"/>
          <w:sz w:val="28"/>
          <w:szCs w:val="28"/>
        </w:rPr>
        <w:t xml:space="preserve">        </w:t>
      </w:r>
    </w:p>
    <w:p>
      <w:pPr>
        <w:pStyle w:val="BodyTextIndent3"/>
        <w:numPr>
          <w:ilvl w:val="2"/>
          <w:numId w:val="4"/>
        </w:numPr>
        <w:spacing w:before="0" w:after="0"/>
        <w:ind w:left="0" w:firstLine="567"/>
        <w:jc w:val="center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Тенденции развития ситуации и возможные последствия</w:t>
      </w:r>
    </w:p>
    <w:p>
      <w:pPr>
        <w:pStyle w:val="BodyTextIndent3"/>
        <w:spacing w:before="0"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Одной из главных проблем, отставание темпов развития автодорожной транспортной инфраструктуры от фактической и перспективной динамики развития экономических процессов может быть охарактеризовано следующими обстоятельствами.</w:t>
      </w:r>
    </w:p>
    <w:p>
      <w:pPr>
        <w:pStyle w:val="Normal"/>
        <w:numPr>
          <w:ilvl w:val="0"/>
          <w:numId w:val="0"/>
        </w:numPr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 </w:t>
      </w:r>
    </w:p>
    <w:p>
      <w:pPr>
        <w:pStyle w:val="Normal"/>
        <w:numPr>
          <w:ilvl w:val="0"/>
          <w:numId w:val="0"/>
        </w:numPr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Рост количества дорожно-транспортных происшествий позволяет отнести данную проблему в разряд, решение которых возможно лишь при осуществлении согласованного комплекса мероприятий по обеспечению безопасности дорожного движения. </w:t>
      </w:r>
    </w:p>
    <w:p>
      <w:pPr>
        <w:pStyle w:val="Normal"/>
        <w:numPr>
          <w:ilvl w:val="0"/>
          <w:numId w:val="0"/>
        </w:numPr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>
      <w:pPr>
        <w:pStyle w:val="Normal"/>
        <w:numPr>
          <w:ilvl w:val="0"/>
          <w:numId w:val="0"/>
        </w:numPr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Администрация сельсовета, как и большинство муниципальных образований Красноярского края, не располагает необходимыми финансовыми ресурсами не только для строительства и реконструкции, но и для обеспечения комплекса работ по содержанию автодорог и их ремонту.</w:t>
      </w:r>
    </w:p>
    <w:p>
      <w:pPr>
        <w:pStyle w:val="Normal"/>
        <w:numPr>
          <w:ilvl w:val="0"/>
          <w:numId w:val="0"/>
        </w:numPr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 связи с недостаточностью средств в бюджете практически </w:t>
        <w:br/>
        <w:t>не выполняются работы по диагностике технического состояния автомобильных дорог и искусственных сооружений на них. В результате отсутствуют единые объективные данные о существующем положении дел.</w:t>
      </w:r>
    </w:p>
    <w:p>
      <w:pPr>
        <w:pStyle w:val="Normal"/>
        <w:numPr>
          <w:ilvl w:val="0"/>
          <w:numId w:val="0"/>
        </w:numPr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Финансирование ремонта дорог из бюджета поселения практически </w:t>
        <w:br/>
        <w:t>не осуществляется и носит разовый характер при наступлении критических ситуаций, а также в целях устранения предписаний надзорных органов, при условии незначительных затрат, в противном случае администрацией сельсовета направляются ходатайства с целью получения средств краевого бюджета на данные цели.</w:t>
      </w:r>
    </w:p>
    <w:p>
      <w:pPr>
        <w:pStyle w:val="Normal"/>
        <w:numPr>
          <w:ilvl w:val="0"/>
          <w:numId w:val="0"/>
        </w:numPr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numPr>
          <w:ilvl w:val="2"/>
          <w:numId w:val="4"/>
        </w:numPr>
        <w:tabs>
          <w:tab w:val="left" w:pos="142" w:leader="none"/>
        </w:tabs>
        <w:ind w:firstLine="567"/>
        <w:jc w:val="center"/>
        <w:outlineLvl w:val="2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Анализ причин возникновения проблемы</w:t>
      </w:r>
    </w:p>
    <w:p>
      <w:pPr>
        <w:pStyle w:val="Normal"/>
        <w:numPr>
          <w:ilvl w:val="0"/>
          <w:numId w:val="0"/>
        </w:numPr>
        <w:ind w:firstLine="567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BodyTextIndent3"/>
        <w:spacing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Возникновение несоответствия между темпами развития экономики сельсовета и уровнем инфраструктурной автодорожной обеспеченности экономических процессов возникло в результате дефицита финансирования работ по компенсации износа дорожной сети. 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капитальных. Кроме того, в последние годы практически отсутствуют объекты строительства и реконструкции автомобильных дорог.</w:t>
      </w:r>
    </w:p>
    <w:p>
      <w:pPr>
        <w:pStyle w:val="BodyTextIndent3"/>
        <w:spacing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Причиной существующего неудовлетворительного состояния улично-дорожной сети сельского поселения является отсутствие необходимых финансовых, кадровых, материальных ресурсов для проведения регламентных дорожных работ.</w:t>
      </w:r>
    </w:p>
    <w:p>
      <w:pPr>
        <w:pStyle w:val="BodyTextIndent3"/>
        <w:spacing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BodyTextIndent3"/>
        <w:numPr>
          <w:ilvl w:val="2"/>
          <w:numId w:val="4"/>
        </w:numPr>
        <w:spacing w:before="0" w:after="0"/>
        <w:ind w:left="283" w:firstLine="567"/>
        <w:jc w:val="center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Перечень и характеристика решаемых задач</w:t>
      </w:r>
    </w:p>
    <w:p>
      <w:pPr>
        <w:pStyle w:val="BodyTextIndent3"/>
        <w:spacing w:before="0" w:after="0"/>
        <w:ind w:left="0" w:firstLine="567"/>
        <w:jc w:val="both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</w:r>
    </w:p>
    <w:p>
      <w:pPr>
        <w:pStyle w:val="Style2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 результате недостаточного ежегодного финансирования работ </w:t>
        <w:br/>
        <w:t>по содержанию дорог, отсутствия финансировании по текущему ремонту транспортно-эксплуатационное состояние существующих автомобильных дорог ухудшается.</w:t>
      </w:r>
    </w:p>
    <w:p>
      <w:pPr>
        <w:pStyle w:val="Style2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Прогнозируемый рост количества транспортных средств, увеличение грузоподъемности и объемов грузовых и пассажирских перевозок на автомобильном транспорте приведет к увеличению интенсивности движения и осевых нагрузок. </w:t>
      </w:r>
    </w:p>
    <w:p>
      <w:pPr>
        <w:pStyle w:val="Style2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условиях развития автомобилизации, ограниченных финансовых возможностей основной целью, стоящей перед органами местного самоуправления, является бесперебойное и безопасное движение транспортных средств по автомобильным дорогам местного значения.</w:t>
      </w:r>
    </w:p>
    <w:p>
      <w:pPr>
        <w:pStyle w:val="Normal"/>
        <w:numPr>
          <w:ilvl w:val="0"/>
          <w:numId w:val="0"/>
        </w:numPr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сельского поселения будут созданы условия для свободного круглогодичного передвижения людей и грузов по территории сельсовета.</w:t>
      </w:r>
    </w:p>
    <w:p>
      <w:pPr>
        <w:pStyle w:val="Style2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дорог. Решение вопросов по снижению влияния дорожных условий на безопасность дорожного движения обусловлено социально-экономической остротой проблемы.</w:t>
      </w:r>
    </w:p>
    <w:p>
      <w:pPr>
        <w:pStyle w:val="Style2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numPr>
          <w:ilvl w:val="1"/>
          <w:numId w:val="4"/>
        </w:numPr>
        <w:ind w:left="0" w:firstLine="567"/>
        <w:jc w:val="center"/>
        <w:outlineLvl w:val="1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 xml:space="preserve">Основная цель, задачи, этапы и сроки выполнения подпрограммы, целевые индикаторы </w:t>
      </w:r>
    </w:p>
    <w:p>
      <w:pPr>
        <w:pStyle w:val="Normal"/>
        <w:numPr>
          <w:ilvl w:val="0"/>
          <w:numId w:val="0"/>
        </w:numPr>
        <w:ind w:left="709" w:firstLine="56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основу разработки и реализации подпрограммы заложены следующие принципы, обеспечивающие обоснованный выбор мероприятий подпрограммы и сбалансированное решение основных задач: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эффективное целевое использование средств бюджета поселения в соответствии с установленными приоритетами для достижения целевых индикаторов подпрограммы;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оценка потребностей в финансовых средствах с учетом имеющихся финансовых возможностей бюджета поселения;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оценка результатов и социально-экономической эффективности подпрограммы, которая осуществляется на основе мониторинга целевых индикаторов.</w:t>
      </w:r>
    </w:p>
    <w:p>
      <w:pPr>
        <w:pStyle w:val="Style2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Цель подпрограммы - бесперебойное и безопасное движение транспортных средств по улично-дорожной сети сельского поселения.</w:t>
      </w:r>
    </w:p>
    <w:p>
      <w:pPr>
        <w:pStyle w:val="Normal"/>
        <w:numPr>
          <w:ilvl w:val="0"/>
          <w:numId w:val="0"/>
        </w:numPr>
        <w:ind w:firstLine="567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Задача подпрограммы: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обеспечение бесперебойного и безопасного движения транспортных средств по </w:t>
      </w:r>
      <w:r>
        <w:rPr>
          <w:rFonts w:cs="Times New Roman" w:ascii="Times New Roman" w:hAnsi="Times New Roman"/>
          <w:sz w:val="28"/>
          <w:szCs w:val="28"/>
        </w:rPr>
        <w:t>улично-дорожной сети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сельского поселения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. </w:t>
      </w:r>
    </w:p>
    <w:p>
      <w:pPr>
        <w:pStyle w:val="Normal"/>
        <w:numPr>
          <w:ilvl w:val="0"/>
          <w:numId w:val="0"/>
        </w:numPr>
        <w:ind w:firstLine="56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Сроки реализации подпрограммы 2014-2018 годы.</w:t>
      </w:r>
    </w:p>
    <w:p>
      <w:pPr>
        <w:pStyle w:val="Normal"/>
        <w:numPr>
          <w:ilvl w:val="0"/>
          <w:numId w:val="0"/>
        </w:numPr>
        <w:ind w:firstLine="56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Выбор подпрограммных мероприятий обусловлен необходимостью решения задач для достижения цели подпрограммы, сформированной в соответствии с приоритетными направлениями в области дорожной деятельности сельсовета и исходя из высокой социальной значимости вопросов обеспечения транспортной доступности населенных пунктов.</w:t>
      </w:r>
    </w:p>
    <w:p>
      <w:pPr>
        <w:pStyle w:val="Normal"/>
        <w:numPr>
          <w:ilvl w:val="0"/>
          <w:numId w:val="0"/>
        </w:numPr>
        <w:ind w:firstLine="56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Достижимость и измеримость поставленной цели обеспечиваются за счет установления значений целевых индикаторов на весь период действия подпрограммы по годам ее реализации.</w:t>
      </w:r>
    </w:p>
    <w:p>
      <w:pPr>
        <w:pStyle w:val="Normal"/>
        <w:numPr>
          <w:ilvl w:val="0"/>
          <w:numId w:val="0"/>
        </w:numPr>
        <w:ind w:firstLine="56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Перечень и значения целевых индикаторов подпрограммы представлены в приложении № 1 к подпрограмме.</w:t>
      </w:r>
    </w:p>
    <w:p>
      <w:pPr>
        <w:pStyle w:val="Normal"/>
        <w:numPr>
          <w:ilvl w:val="0"/>
          <w:numId w:val="0"/>
        </w:numPr>
        <w:ind w:firstLine="567"/>
        <w:outlineLvl w:val="1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Cs/>
          <w:i/>
          <w:i/>
          <w:sz w:val="28"/>
          <w:szCs w:val="28"/>
        </w:rPr>
      </w:pPr>
      <w:r>
        <w:rPr>
          <w:rFonts w:cs="Times New Roman" w:ascii="Times New Roman" w:hAnsi="Times New Roman"/>
          <w:bCs/>
          <w:i/>
          <w:sz w:val="28"/>
          <w:szCs w:val="28"/>
        </w:rPr>
        <w:t>2.3. Механизм реализации подпрограммы</w:t>
      </w:r>
    </w:p>
    <w:p>
      <w:pPr>
        <w:pStyle w:val="Normal"/>
        <w:jc w:val="center"/>
        <w:rPr>
          <w:rFonts w:ascii="Times New Roman" w:hAnsi="Times New Roman" w:cs="Times New Roman"/>
          <w:bCs/>
          <w:i/>
          <w:i/>
          <w:sz w:val="28"/>
          <w:szCs w:val="28"/>
        </w:rPr>
      </w:pPr>
      <w:r>
        <w:rPr>
          <w:rFonts w:cs="Times New Roman" w:ascii="Times New Roman" w:hAnsi="Times New Roman"/>
          <w:bCs/>
          <w:i/>
          <w:sz w:val="28"/>
          <w:szCs w:val="28"/>
        </w:rPr>
      </w:r>
    </w:p>
    <w:p>
      <w:pPr>
        <w:pStyle w:val="Normal"/>
        <w:widowControl w:val="fals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Реализацию подпрограммы осуществляет администрация сельсовета.</w:t>
      </w:r>
    </w:p>
    <w:p>
      <w:pPr>
        <w:pStyle w:val="BodyTextIndent3"/>
        <w:spacing w:before="0" w:after="0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Финансирование мероприятий подпрограммы осуществляется за счет средств бюджета поселения, в том числе дорожного фонда в соответствии с мероприятиями подпрограммы согласно приложению № 2 к подпрограмме (далее - мероприятия подпрограммы).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Главным распорядителем бюджетных средств является администрация сельсовета.</w:t>
      </w:r>
    </w:p>
    <w:p>
      <w:pPr>
        <w:pStyle w:val="Normal"/>
        <w:rPr/>
      </w:pPr>
      <w:r>
        <w:rPr>
          <w:rFonts w:cs="Times New Roman" w:ascii="Times New Roman" w:hAnsi="Times New Roman"/>
          <w:sz w:val="28"/>
          <w:szCs w:val="28"/>
        </w:rPr>
        <w:t>Расходование и учет бюджетных средств осуществляется в соответствии с порядком исполнения бюджета поселения по расходам, установленным постановлениями администрации Шушенского сельсовета.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части правового механизма, в соответствии с действующим законодательством, приняты следующие муниципальные правовые акты:</w:t>
      </w:r>
    </w:p>
    <w:p>
      <w:pPr>
        <w:pStyle w:val="Normal"/>
        <w:rPr/>
      </w:pPr>
      <w:r>
        <w:rPr>
          <w:rFonts w:cs="Times New Roman" w:ascii="Times New Roman" w:hAnsi="Times New Roman"/>
          <w:sz w:val="28"/>
          <w:szCs w:val="28"/>
        </w:rPr>
        <w:t>- Распоряжение администрации Шушенского сельсовета от 09.02.2010 года № 15 «Об утверждении Перечня внутри поселковых автомобильных дорог»;</w:t>
      </w:r>
    </w:p>
    <w:p>
      <w:pPr>
        <w:pStyle w:val="Normal"/>
        <w:widowControl w:val="false"/>
        <w:tabs>
          <w:tab w:val="left" w:pos="960" w:leader="none"/>
        </w:tabs>
        <w:rPr/>
      </w:pPr>
      <w:r>
        <w:rPr>
          <w:rFonts w:cs="Times New Roman" w:ascii="Times New Roman" w:hAnsi="Times New Roman"/>
          <w:sz w:val="28"/>
          <w:szCs w:val="28"/>
        </w:rPr>
        <w:t>- Решение Шушенского сельсовета Совета депутатов от 21.10.2013 года № 92 «О создании муниципального дорожного фонда Шушенского сельсовета Шарыповского района», которое устанавливает назначение дорожного фонда и источники его финансового обеспечения, правила формирования и использования бюджетных ассигнований муниципального дорожного фонда и регулирует финансовое обеспечение дорожной деятельности в отношении автомобильных дорог общего пользования улично-дорожной сети сельских поселений.</w:t>
      </w:r>
    </w:p>
    <w:p>
      <w:pPr>
        <w:pStyle w:val="Normal"/>
        <w:widowControl w:val="false"/>
        <w:tabs>
          <w:tab w:val="left" w:pos="96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Принятые правовые акты позволили: </w:t>
      </w:r>
    </w:p>
    <w:p>
      <w:pPr>
        <w:pStyle w:val="Normal"/>
        <w:widowControl w:val="false"/>
        <w:tabs>
          <w:tab w:val="left" w:pos="96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определить перечень автомобильных дорог местного значения;</w:t>
      </w:r>
    </w:p>
    <w:p>
      <w:pPr>
        <w:pStyle w:val="Normal"/>
        <w:widowControl w:val="false"/>
        <w:tabs>
          <w:tab w:val="left" w:pos="960" w:leader="none"/>
        </w:tabs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cs="Times New Roman" w:ascii="Times New Roman" w:hAnsi="Times New Roman"/>
          <w:sz w:val="28"/>
          <w:szCs w:val="28"/>
        </w:rPr>
        <w:t>-установить источники финансового обеспечения дорожной деятельности.</w:t>
      </w:r>
    </w:p>
    <w:p>
      <w:pPr>
        <w:pStyle w:val="Normal"/>
        <w:widowControl w:val="false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период реализации подпрограммы в целях повышения эффективности использования автомобильных дорог и осуществления дорожной деятельности на территории сельсовета будет проведена работа по актуализации действующих муниципальных правовых актов и принятию новых.</w:t>
      </w:r>
    </w:p>
    <w:p>
      <w:pPr>
        <w:pStyle w:val="Normal"/>
        <w:rPr/>
      </w:pPr>
      <w:r>
        <w:rPr>
          <w:rFonts w:cs="Times New Roman" w:ascii="Times New Roman" w:hAnsi="Times New Roman"/>
          <w:sz w:val="28"/>
          <w:szCs w:val="28"/>
        </w:rPr>
        <w:t>В рамках реализации мероприятия 1.1. «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Содержание  </w:t>
      </w:r>
      <w:r>
        <w:rPr>
          <w:rFonts w:cs="Times New Roman" w:ascii="Times New Roman" w:hAnsi="Times New Roman"/>
          <w:sz w:val="28"/>
          <w:szCs w:val="28"/>
        </w:rPr>
        <w:t>улично-дорожной сети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сельского поселения и искусственных сооружений на них  за счет средств дорожного фонда муниципального образования «Шушенский сельсовет</w:t>
      </w:r>
      <w:r>
        <w:rPr>
          <w:rFonts w:cs="Times New Roman" w:ascii="Times New Roman" w:hAnsi="Times New Roman"/>
          <w:color w:val="052635"/>
          <w:sz w:val="28"/>
          <w:szCs w:val="28"/>
        </w:rPr>
        <w:t xml:space="preserve">» </w:t>
      </w:r>
      <w:r>
        <w:rPr>
          <w:rFonts w:cs="Times New Roman" w:ascii="Times New Roman" w:hAnsi="Times New Roman"/>
          <w:sz w:val="28"/>
          <w:szCs w:val="28"/>
        </w:rPr>
        <w:t xml:space="preserve">включает в себя комплекс следующих работ </w:t>
      </w:r>
      <w:r>
        <w:rPr>
          <w:rFonts w:cs="Times New Roman" w:ascii="Times New Roman" w:hAnsi="Times New Roman"/>
          <w:color w:val="052635"/>
          <w:sz w:val="28"/>
          <w:szCs w:val="28"/>
        </w:rPr>
        <w:t>по организации содержания дорог: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52635"/>
          <w:sz w:val="28"/>
          <w:szCs w:val="28"/>
        </w:rPr>
        <w:t xml:space="preserve">-подготовка соответствующего пакета документов для проведения торгов на право заключения муниципального контракта на выполнение работ по содержанию </w:t>
      </w:r>
      <w:r>
        <w:rPr>
          <w:rFonts w:cs="Times New Roman" w:ascii="Times New Roman" w:hAnsi="Times New Roman"/>
          <w:sz w:val="28"/>
          <w:szCs w:val="28"/>
        </w:rPr>
        <w:t>улично-дорожной сети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сельского поселения</w:t>
      </w:r>
      <w:r>
        <w:rPr>
          <w:rFonts w:cs="Times New Roman" w:ascii="Times New Roman" w:hAnsi="Times New Roman"/>
          <w:color w:val="052635"/>
          <w:sz w:val="28"/>
          <w:szCs w:val="28"/>
        </w:rPr>
        <w:t>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-заключение муниципального контракта </w:t>
      </w:r>
      <w:r>
        <w:rPr>
          <w:rFonts w:cs="Times New Roman" w:ascii="Times New Roman" w:hAnsi="Times New Roman"/>
          <w:color w:val="052635"/>
          <w:sz w:val="28"/>
          <w:szCs w:val="28"/>
        </w:rPr>
        <w:t xml:space="preserve">на выполнение работ по содержанию улично-дорожной сети </w:t>
      </w:r>
      <w:r>
        <w:rPr>
          <w:rFonts w:cs="Times New Roman" w:ascii="Times New Roman" w:hAnsi="Times New Roman"/>
          <w:sz w:val="28"/>
          <w:szCs w:val="28"/>
        </w:rPr>
        <w:t xml:space="preserve">сельского поселения по результатам торгов (без проведения торгов, досрочное их расторжение);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-осуществление мониторинга за работами по содержанию улично-дорожной сети сельского поселения;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-осуществление контроля над соблюдением условий муниципального контракта </w:t>
      </w:r>
      <w:r>
        <w:rPr>
          <w:rFonts w:cs="Times New Roman" w:ascii="Times New Roman" w:hAnsi="Times New Roman"/>
          <w:color w:val="052635"/>
          <w:sz w:val="28"/>
          <w:szCs w:val="28"/>
        </w:rPr>
        <w:t xml:space="preserve">на выполнение работ по содержанию </w:t>
      </w:r>
      <w:r>
        <w:rPr>
          <w:rFonts w:cs="Times New Roman" w:ascii="Times New Roman" w:hAnsi="Times New Roman"/>
          <w:sz w:val="28"/>
          <w:szCs w:val="28"/>
        </w:rPr>
        <w:t>улично-дорожной сети сельского поселения.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Для оплаты выполненных работ (оказанных услуг) по </w:t>
      </w:r>
      <w:r>
        <w:rPr>
          <w:rFonts w:cs="Times New Roman" w:ascii="Times New Roman" w:hAnsi="Times New Roman"/>
          <w:color w:val="052635"/>
          <w:sz w:val="28"/>
          <w:szCs w:val="28"/>
        </w:rPr>
        <w:t xml:space="preserve">содержанию  </w:t>
      </w:r>
      <w:r>
        <w:rPr>
          <w:rFonts w:cs="Times New Roman" w:ascii="Times New Roman" w:hAnsi="Times New Roman"/>
          <w:sz w:val="28"/>
          <w:szCs w:val="28"/>
        </w:rPr>
        <w:t>улично-дорожной сети</w:t>
      </w:r>
      <w:r>
        <w:rPr>
          <w:rFonts w:cs="Times New Roman" w:ascii="Times New Roman" w:hAnsi="Times New Roman"/>
          <w:color w:val="052635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исполнители работ представляют в администрацию сельсовета следующие документы: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акт о приемке выполненных работ (форма КС-2);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справку о стоимости выполненных работ и затрат (форма КС-3);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счет-фактуру.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ind w:firstLine="567"/>
        <w:jc w:val="center"/>
        <w:outlineLvl w:val="1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2.4. Управление подпрограммой и контроль за ходом ее выполнения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1. Текущий  контроль  за ходом реализации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Администрация сельсовета осуществляет: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координацию исполнения мероприятий подпрограммы, мониторинг их реализации;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непосредственный контроль за ходом реализации мероприятий подпрограммы;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подготовку отчетов о реализации мероприятий подпрограммы.    </w:t>
      </w:r>
    </w:p>
    <w:p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2. Контроль за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Шарыповского района.</w:t>
      </w:r>
    </w:p>
    <w:p>
      <w:pPr>
        <w:pStyle w:val="Style2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6"/>
        <w:numPr>
          <w:ilvl w:val="1"/>
          <w:numId w:val="5"/>
        </w:numPr>
        <w:ind w:firstLine="567"/>
        <w:jc w:val="center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. Оценка социально-экономической эффективности</w:t>
      </w:r>
    </w:p>
    <w:p>
      <w:pPr>
        <w:pStyle w:val="Style26"/>
        <w:ind w:left="1429" w:firstLine="567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yle2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Социально-экономическая эффективность реализации подпрограммы зависит от степени достижения ожидаемого конечного результата.</w:t>
      </w:r>
    </w:p>
    <w:p>
      <w:pPr>
        <w:pStyle w:val="Style2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Реализация подпрограммы позволит к 2018 году достичь следующих результатов:</w:t>
      </w:r>
    </w:p>
    <w:p>
      <w:pPr>
        <w:pStyle w:val="Style26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обеспечить круглогодичное содержание 12,9 км дорог улично-дорожной сети, установить 18 знаков дорожного движения, разработать проект организации дорожного движения и обеспечить ремонт улично-дорожной сети. </w:t>
      </w:r>
    </w:p>
    <w:p>
      <w:pPr>
        <w:pStyle w:val="Style2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Результаты реализации мероприятий подпрограммы будут способствовать бесперебойному и безопасному движению транспортных средств по  улично-дорожной сети сельского поселения, снижению влияния дорожных условий на безопасность дорожного движения, что позволит повысить уровень жизни населения на территории сельсовета и обеспечить:</w:t>
      </w:r>
    </w:p>
    <w:p>
      <w:pPr>
        <w:pStyle w:val="Style2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конституционные права граждан на передвижение и возможности получения ими жизненно важных услуг;</w:t>
      </w:r>
    </w:p>
    <w:p>
      <w:pPr>
        <w:pStyle w:val="Style2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комфортные и безопасные условия проживания граждан и качество предоставления населению услуг в части осуществления дорожной деятельности на территории сельсовета.</w:t>
      </w:r>
    </w:p>
    <w:p>
      <w:pPr>
        <w:pStyle w:val="Style2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Положительный экономический эффект от реализации подпрограммы будет достигнут в социальной сфере (торговле, сфере услуг и т.д.), а также приведет к снижению транспортных издержек организаций промышленности и сельского хозяйства.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Планируется достижение значений целевых индикаторов, отраженных в приложении № 1 к подпрограмме.</w:t>
      </w:r>
    </w:p>
    <w:p>
      <w:pPr>
        <w:pStyle w:val="Normal"/>
        <w:widowControl w:val="false"/>
        <w:rPr>
          <w:i/>
          <w:i/>
          <w:iCs/>
          <w:highlight w:val="green"/>
        </w:rPr>
      </w:pPr>
      <w:r>
        <w:rPr>
          <w:i/>
          <w:iCs/>
          <w:highlight w:val="green"/>
        </w:rPr>
      </w:r>
    </w:p>
    <w:p>
      <w:pPr>
        <w:pStyle w:val="ListParagraph"/>
        <w:widowControl w:val="false"/>
        <w:numPr>
          <w:ilvl w:val="1"/>
          <w:numId w:val="5"/>
        </w:numPr>
        <w:ind w:left="720" w:firstLine="567"/>
        <w:jc w:val="center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. Мероприятия подпрограммы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Перечень подпрограммных мероприятий представлен в приложении № 2 к настоящей подпрограмме. 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Реализация мероприятий подпрограммы позволит выделить направления финансирования, распределить полномочия, обеспечить эффективное планирование и мониторинг результатов реализации подпрограммы.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widowControl w:val="false"/>
        <w:numPr>
          <w:ilvl w:val="1"/>
          <w:numId w:val="2"/>
        </w:numPr>
        <w:ind w:left="0" w:firstLine="567"/>
        <w:jc w:val="center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Ресурсное обеспечение подпрограммы</w:t>
      </w:r>
    </w:p>
    <w:p>
      <w:pPr>
        <w:pStyle w:val="ListParagraph"/>
        <w:widowControl w:val="false"/>
        <w:ind w:left="0" w:firstLine="567"/>
        <w:rPr>
          <w:rFonts w:ascii="Times New Roman" w:hAnsi="Times New Roman" w:cs="Times New Roman"/>
          <w:b/>
          <w:b/>
          <w:bCs/>
          <w:sz w:val="28"/>
          <w:szCs w:val="28"/>
          <w:highlight w:val="green"/>
        </w:rPr>
      </w:pPr>
      <w:r>
        <w:rPr>
          <w:rFonts w:cs="Times New Roman" w:ascii="Times New Roman" w:hAnsi="Times New Roman"/>
          <w:b/>
          <w:bCs/>
          <w:sz w:val="28"/>
          <w:szCs w:val="28"/>
          <w:highlight w:val="green"/>
        </w:rPr>
      </w:r>
    </w:p>
    <w:p>
      <w:pPr>
        <w:pStyle w:val="Style26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Источниками финансирования мероприятий подпрограммы являются средства дорожного фонда муниципального образования Шушенского сельсовета.</w:t>
      </w:r>
    </w:p>
    <w:p>
      <w:pPr>
        <w:pStyle w:val="ConsPlusCell"/>
        <w:rPr/>
      </w:pPr>
      <w:r>
        <w:rPr>
          <w:rFonts w:cs="Times New Roman" w:ascii="Times New Roman" w:hAnsi="Times New Roman"/>
          <w:sz w:val="28"/>
          <w:szCs w:val="28"/>
        </w:rPr>
        <w:t xml:space="preserve">Общий объем финансирования подпрограммы составит </w:t>
      </w:r>
      <w:r>
        <w:rPr>
          <w:rFonts w:cs="Times New Roman" w:ascii="Times New Roman" w:hAnsi="Times New Roman"/>
          <w:sz w:val="28"/>
          <w:szCs w:val="28"/>
        </w:rPr>
        <w:t>2 685 521,12</w:t>
      </w:r>
      <w:r>
        <w:rPr>
          <w:rFonts w:cs="Times New Roman" w:ascii="Times New Roman" w:hAnsi="Times New Roman"/>
          <w:sz w:val="28"/>
          <w:szCs w:val="28"/>
        </w:rPr>
        <w:t xml:space="preserve"> руб., в том числе:</w:t>
      </w:r>
    </w:p>
    <w:p>
      <w:pPr>
        <w:pStyle w:val="ConsPlusCell"/>
        <w:rPr/>
      </w:pPr>
      <w:r>
        <w:rPr>
          <w:rFonts w:cs="Times New Roman" w:ascii="Times New Roman" w:hAnsi="Times New Roman"/>
          <w:sz w:val="28"/>
          <w:szCs w:val="28"/>
        </w:rPr>
        <w:t xml:space="preserve">за счет средств краевого бюджета </w:t>
      </w:r>
      <w:r>
        <w:rPr>
          <w:rFonts w:cs="Times New Roman" w:ascii="Times New Roman" w:hAnsi="Times New Roman"/>
          <w:sz w:val="28"/>
          <w:szCs w:val="28"/>
        </w:rPr>
        <w:t>1</w:t>
      </w:r>
      <w:r>
        <w:rPr>
          <w:rFonts w:cs="Times New Roman" w:ascii="Times New Roman" w:hAnsi="Times New Roman"/>
          <w:sz w:val="28"/>
          <w:szCs w:val="28"/>
        </w:rPr>
        <w:t>696 150,57</w:t>
      </w:r>
      <w:r>
        <w:rPr>
          <w:rFonts w:cs="Times New Roman" w:ascii="Times New Roman" w:hAnsi="Times New Roman"/>
          <w:sz w:val="28"/>
          <w:szCs w:val="28"/>
        </w:rPr>
        <w:t xml:space="preserve"> руб., из них:</w:t>
      </w:r>
    </w:p>
    <w:p>
      <w:pPr>
        <w:pStyle w:val="ConsPlusCell"/>
        <w:rPr/>
      </w:pPr>
      <w:r>
        <w:rPr>
          <w:rFonts w:cs="Times New Roman" w:ascii="Times New Roman" w:hAnsi="Times New Roman"/>
          <w:sz w:val="28"/>
          <w:szCs w:val="28"/>
        </w:rPr>
        <w:t>2014 год – 21 834,0 руб.;</w:t>
      </w:r>
    </w:p>
    <w:p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2015 год – 853 331,0 руб.;</w:t>
      </w:r>
    </w:p>
    <w:p>
      <w:pPr>
        <w:pStyle w:val="ConsPlusCell"/>
        <w:rPr/>
      </w:pPr>
      <w:r>
        <w:rPr>
          <w:rFonts w:cs="Times New Roman" w:ascii="Times New Roman" w:hAnsi="Times New Roman"/>
          <w:sz w:val="28"/>
          <w:szCs w:val="28"/>
        </w:rPr>
        <w:t xml:space="preserve">2016 год – </w:t>
      </w:r>
      <w:r>
        <w:rPr>
          <w:rFonts w:cs="Times New Roman" w:ascii="Times New Roman" w:hAnsi="Times New Roman"/>
          <w:sz w:val="28"/>
          <w:szCs w:val="28"/>
        </w:rPr>
        <w:t>820 985,57</w:t>
      </w:r>
      <w:r>
        <w:rPr>
          <w:rFonts w:cs="Times New Roman" w:ascii="Times New Roman" w:hAnsi="Times New Roman"/>
          <w:sz w:val="28"/>
          <w:szCs w:val="28"/>
        </w:rPr>
        <w:t xml:space="preserve"> руб.;</w:t>
      </w:r>
    </w:p>
    <w:p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2017 год – 0,00 руб.;</w:t>
      </w:r>
    </w:p>
    <w:p>
      <w:pPr>
        <w:pStyle w:val="ConsPlusCell"/>
        <w:rPr/>
      </w:pPr>
      <w:r>
        <w:rPr>
          <w:rFonts w:cs="Times New Roman" w:ascii="Times New Roman" w:hAnsi="Times New Roman"/>
          <w:sz w:val="28"/>
          <w:szCs w:val="28"/>
        </w:rPr>
        <w:t>2018 год – 0,00 руб.</w:t>
      </w:r>
    </w:p>
    <w:p>
      <w:pPr>
        <w:pStyle w:val="ConsPlusCell"/>
        <w:rPr/>
      </w:pPr>
      <w:r>
        <w:rPr>
          <w:rFonts w:cs="Times New Roman" w:ascii="Times New Roman" w:hAnsi="Times New Roman"/>
          <w:sz w:val="28"/>
          <w:szCs w:val="28"/>
        </w:rPr>
        <w:t xml:space="preserve">за счет средств бюджета поселения </w:t>
      </w:r>
      <w:r>
        <w:rPr>
          <w:rFonts w:cs="Times New Roman" w:ascii="Times New Roman" w:hAnsi="Times New Roman"/>
          <w:sz w:val="28"/>
          <w:szCs w:val="28"/>
        </w:rPr>
        <w:t>989 370,55</w:t>
      </w:r>
      <w:r>
        <w:rPr>
          <w:rFonts w:cs="Times New Roman" w:ascii="Times New Roman" w:hAnsi="Times New Roman"/>
          <w:sz w:val="28"/>
          <w:szCs w:val="28"/>
        </w:rPr>
        <w:t xml:space="preserve"> руб., из них: </w:t>
      </w:r>
    </w:p>
    <w:p>
      <w:pPr>
        <w:pStyle w:val="ConsPlusCell"/>
        <w:rPr/>
      </w:pPr>
      <w:r>
        <w:rPr>
          <w:rFonts w:cs="Times New Roman" w:ascii="Times New Roman" w:hAnsi="Times New Roman"/>
          <w:sz w:val="28"/>
          <w:szCs w:val="28"/>
        </w:rPr>
        <w:t>2014 год – 130 034,81 руб.;</w:t>
      </w:r>
    </w:p>
    <w:p>
      <w:pPr>
        <w:pStyle w:val="ConsPlusCell"/>
        <w:rPr/>
      </w:pPr>
      <w:r>
        <w:rPr>
          <w:rFonts w:cs="Times New Roman" w:ascii="Times New Roman" w:hAnsi="Times New Roman"/>
          <w:sz w:val="28"/>
          <w:szCs w:val="28"/>
        </w:rPr>
        <w:t>2015 год – 270 934,40 руб.;</w:t>
      </w:r>
    </w:p>
    <w:p>
      <w:pPr>
        <w:pStyle w:val="ConsPlusCell"/>
        <w:rPr/>
      </w:pPr>
      <w:r>
        <w:rPr>
          <w:rFonts w:cs="Times New Roman" w:ascii="Times New Roman" w:hAnsi="Times New Roman"/>
          <w:sz w:val="28"/>
          <w:szCs w:val="28"/>
        </w:rPr>
        <w:t xml:space="preserve">2016 год – </w:t>
      </w:r>
      <w:r>
        <w:rPr>
          <w:rFonts w:cs="Times New Roman" w:ascii="Times New Roman" w:hAnsi="Times New Roman"/>
          <w:sz w:val="28"/>
          <w:szCs w:val="28"/>
        </w:rPr>
        <w:t>381 401,34</w:t>
      </w:r>
      <w:r>
        <w:rPr>
          <w:rFonts w:cs="Times New Roman" w:ascii="Times New Roman" w:hAnsi="Times New Roman"/>
          <w:sz w:val="28"/>
          <w:szCs w:val="28"/>
        </w:rPr>
        <w:t xml:space="preserve"> руб.;</w:t>
      </w:r>
    </w:p>
    <w:p>
      <w:pPr>
        <w:pStyle w:val="ConsPlusCell"/>
        <w:rPr/>
      </w:pPr>
      <w:r>
        <w:rPr>
          <w:rFonts w:cs="Times New Roman" w:ascii="Times New Roman" w:hAnsi="Times New Roman"/>
          <w:sz w:val="28"/>
          <w:szCs w:val="28"/>
        </w:rPr>
        <w:t>2017 год – 101 900 руб.;</w:t>
      </w:r>
    </w:p>
    <w:p>
      <w:pPr>
        <w:pStyle w:val="ConsPlusCell"/>
        <w:rPr/>
      </w:pPr>
      <w:r>
        <w:rPr>
          <w:rFonts w:cs="Times New Roman" w:ascii="Times New Roman" w:hAnsi="Times New Roman"/>
          <w:sz w:val="28"/>
          <w:szCs w:val="28"/>
        </w:rPr>
        <w:t>2018 год – 105 100 руб.</w:t>
      </w:r>
    </w:p>
    <w:p>
      <w:pPr>
        <w:pStyle w:val="ConsPlusCell"/>
        <w:rPr/>
      </w:pPr>
      <w:r>
        <w:rPr>
          <w:rFonts w:cs="Times New Roman" w:ascii="Times New Roman" w:hAnsi="Times New Roman"/>
          <w:sz w:val="28"/>
          <w:szCs w:val="28"/>
        </w:rPr>
        <w:t>в том числе средств дорожного фонда 511 033,40 руб., из них:</w:t>
      </w:r>
    </w:p>
    <w:p>
      <w:pPr>
        <w:pStyle w:val="ConsPlusCell"/>
        <w:rPr/>
      </w:pPr>
      <w:r>
        <w:rPr>
          <w:rFonts w:cs="Times New Roman" w:ascii="Times New Roman" w:hAnsi="Times New Roman"/>
          <w:sz w:val="28"/>
          <w:szCs w:val="28"/>
        </w:rPr>
        <w:t>2014 год – 87 300 руб.;</w:t>
      </w:r>
    </w:p>
    <w:p>
      <w:pPr>
        <w:pStyle w:val="ConsPlusCell"/>
        <w:rPr/>
      </w:pPr>
      <w:r>
        <w:rPr>
          <w:rFonts w:cs="Times New Roman" w:ascii="Times New Roman" w:hAnsi="Times New Roman"/>
          <w:sz w:val="28"/>
          <w:szCs w:val="28"/>
        </w:rPr>
        <w:t>2015 год – 89 733,40 руб.;</w:t>
      </w:r>
    </w:p>
    <w:p>
      <w:pPr>
        <w:pStyle w:val="ConsPlusCell"/>
        <w:rPr/>
      </w:pPr>
      <w:r>
        <w:rPr>
          <w:rFonts w:cs="Times New Roman" w:ascii="Times New Roman" w:hAnsi="Times New Roman"/>
          <w:sz w:val="28"/>
          <w:szCs w:val="28"/>
        </w:rPr>
        <w:t>2016 год – 127 000 руб.;</w:t>
      </w:r>
    </w:p>
    <w:p>
      <w:pPr>
        <w:pStyle w:val="ConsPlusCell"/>
        <w:rPr/>
      </w:pPr>
      <w:r>
        <w:rPr>
          <w:rFonts w:cs="Times New Roman" w:ascii="Times New Roman" w:hAnsi="Times New Roman"/>
          <w:sz w:val="28"/>
          <w:szCs w:val="28"/>
        </w:rPr>
        <w:t>2017 год – 101 900 руб.;</w:t>
      </w:r>
    </w:p>
    <w:p>
      <w:pPr>
        <w:pStyle w:val="ConsPlusCell"/>
        <w:rPr/>
      </w:pPr>
      <w:r>
        <w:rPr>
          <w:rFonts w:cs="Times New Roman" w:ascii="Times New Roman" w:hAnsi="Times New Roman"/>
          <w:sz w:val="28"/>
          <w:szCs w:val="28"/>
        </w:rPr>
        <w:t>2018 год – 105 100 руб.</w:t>
      </w:r>
    </w:p>
    <w:p>
      <w:pPr>
        <w:pStyle w:val="Normal"/>
        <w:widowControl w:val="false"/>
        <w:numPr>
          <w:ilvl w:val="0"/>
          <w:numId w:val="0"/>
        </w:numPr>
        <w:ind w:firstLine="567"/>
        <w:outlineLvl w:val="2"/>
        <w:rPr/>
      </w:pPr>
      <w:r>
        <w:rPr>
          <w:rFonts w:cs="Times New Roman" w:ascii="Times New Roman" w:hAnsi="Times New Roman"/>
          <w:sz w:val="28"/>
          <w:szCs w:val="28"/>
        </w:rPr>
        <w:t>Размер бюджетных ассигнований на содержание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улично-дорожной сети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сельского поселения</w:t>
      </w:r>
      <w:r>
        <w:rPr>
          <w:rFonts w:cs="Times New Roman" w:ascii="Times New Roman" w:hAnsi="Times New Roman"/>
          <w:sz w:val="28"/>
          <w:szCs w:val="28"/>
        </w:rPr>
        <w:t xml:space="preserve"> определен на основании Постановления администрации Шушенского сельсовета от 12.08.2013г. № 42а «О нормативах финансовых затрат на содержание автомобильных дорог местного значения Шушенского сельсовета и правил расчета размера ассигнований местного бюджета на указанные цели».</w:t>
      </w:r>
    </w:p>
    <w:p>
      <w:pPr>
        <w:pStyle w:val="Normal"/>
        <w:widowControl w:val="false"/>
        <w:numPr>
          <w:ilvl w:val="0"/>
          <w:numId w:val="0"/>
        </w:numPr>
        <w:ind w:firstLine="567"/>
        <w:outlineLvl w:val="2"/>
        <w:rPr/>
      </w:pPr>
      <w:r>
        <w:rPr/>
      </w:r>
    </w:p>
    <w:sectPr>
      <w:type w:val="nextPage"/>
      <w:pgSz w:w="11906" w:h="16838"/>
      <w:pgMar w:left="1701" w:right="851" w:header="0" w:top="567" w:footer="0" w:bottom="454" w:gutter="0"/>
      <w:pgNumType w:fmt="decimal"/>
      <w:formProt w:val="false"/>
      <w:textDirection w:val="lrTb"/>
      <w:docGrid w:type="default" w:linePitch="299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2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3981" w:hanging="720"/>
      </w:pPr>
    </w:lvl>
    <w:lvl w:ilvl="2">
      <w:start w:val="1"/>
      <w:numFmt w:val="decimal"/>
      <w:lvlText w:val="%1.%2.%3."/>
      <w:lvlJc w:val="left"/>
      <w:pPr>
        <w:ind w:left="4146" w:hanging="720"/>
      </w:pPr>
    </w:lvl>
    <w:lvl w:ilvl="3">
      <w:start w:val="1"/>
      <w:numFmt w:val="decimal"/>
      <w:lvlText w:val="%1.%2.%3.%4."/>
      <w:lvlJc w:val="left"/>
      <w:pPr>
        <w:ind w:left="6219" w:hanging="1080"/>
      </w:pPr>
    </w:lvl>
    <w:lvl w:ilvl="4">
      <w:start w:val="1"/>
      <w:numFmt w:val="decimal"/>
      <w:lvlText w:val="%1.%2.%3.%4.%5."/>
      <w:lvlJc w:val="left"/>
      <w:pPr>
        <w:ind w:left="7932" w:hanging="1080"/>
      </w:pPr>
    </w:lvl>
    <w:lvl w:ilvl="5">
      <w:start w:val="1"/>
      <w:numFmt w:val="decimal"/>
      <w:lvlText w:val="%1.%2.%3.%4.%5.%6."/>
      <w:lvlJc w:val="left"/>
      <w:pPr>
        <w:ind w:left="10005" w:hanging="1440"/>
      </w:pPr>
    </w:lvl>
    <w:lvl w:ilvl="6">
      <w:start w:val="1"/>
      <w:numFmt w:val="decimal"/>
      <w:lvlText w:val="%1.%2.%3.%4.%5.%6.%7."/>
      <w:lvlJc w:val="left"/>
      <w:pPr>
        <w:ind w:left="12078" w:hanging="1800"/>
      </w:pPr>
    </w:lvl>
    <w:lvl w:ilvl="7">
      <w:start w:val="1"/>
      <w:numFmt w:val="decimal"/>
      <w:lvlText w:val="%1.%2.%3.%4.%5.%6.%7.%8."/>
      <w:lvlJc w:val="left"/>
      <w:pPr>
        <w:ind w:left="13791" w:hanging="1800"/>
      </w:pPr>
    </w:lvl>
    <w:lvl w:ilvl="8">
      <w:start w:val="1"/>
      <w:numFmt w:val="decimal"/>
      <w:lvlText w:val="%1.%2.%3.%4.%5.%6.%7.%8.%9."/>
      <w:lvlJc w:val="left"/>
      <w:pPr>
        <w:ind w:left="15864" w:hanging="2160"/>
      </w:pPr>
    </w:lvl>
  </w:abstractNum>
  <w:abstractNum w:abstractNumId="2">
    <w:lvl w:ilvl="0">
      <w:start w:val="2"/>
      <w:numFmt w:val="decimal"/>
      <w:lvlText w:val="%1."/>
      <w:lvlJc w:val="left"/>
      <w:pPr>
        <w:ind w:left="435" w:hanging="435"/>
      </w:pPr>
    </w:lvl>
    <w:lvl w:ilvl="1">
      <w:start w:val="7"/>
      <w:numFmt w:val="decimal"/>
      <w:lvlText w:val="%1.%2."/>
      <w:lvlJc w:val="left"/>
      <w:pPr>
        <w:ind w:left="3272" w:hanging="720"/>
      </w:pPr>
    </w:lvl>
    <w:lvl w:ilvl="2">
      <w:start w:val="1"/>
      <w:numFmt w:val="decimal"/>
      <w:lvlText w:val="%1.%2.%3."/>
      <w:lvlJc w:val="left"/>
      <w:pPr>
        <w:ind w:left="5586" w:hanging="720"/>
      </w:pPr>
    </w:lvl>
    <w:lvl w:ilvl="3">
      <w:start w:val="1"/>
      <w:numFmt w:val="decimal"/>
      <w:lvlText w:val="%1.%2.%3.%4."/>
      <w:lvlJc w:val="left"/>
      <w:pPr>
        <w:ind w:left="8379" w:hanging="1080"/>
      </w:pPr>
    </w:lvl>
    <w:lvl w:ilvl="4">
      <w:start w:val="1"/>
      <w:numFmt w:val="decimal"/>
      <w:lvlText w:val="%1.%2.%3.%4.%5."/>
      <w:lvlJc w:val="left"/>
      <w:pPr>
        <w:ind w:left="10812" w:hanging="1080"/>
      </w:pPr>
    </w:lvl>
    <w:lvl w:ilvl="5">
      <w:start w:val="1"/>
      <w:numFmt w:val="decimal"/>
      <w:lvlText w:val="%1.%2.%3.%4.%5.%6."/>
      <w:lvlJc w:val="left"/>
      <w:pPr>
        <w:ind w:left="13605" w:hanging="1440"/>
      </w:pPr>
    </w:lvl>
    <w:lvl w:ilvl="6">
      <w:start w:val="1"/>
      <w:numFmt w:val="decimal"/>
      <w:lvlText w:val="%1.%2.%3.%4.%5.%6.%7."/>
      <w:lvlJc w:val="left"/>
      <w:pPr>
        <w:ind w:left="16398" w:hanging="1800"/>
      </w:pPr>
    </w:lvl>
    <w:lvl w:ilvl="7">
      <w:start w:val="1"/>
      <w:numFmt w:val="decimal"/>
      <w:lvlText w:val="%1.%2.%3.%4.%5.%6.%7.%8."/>
      <w:lvlJc w:val="left"/>
      <w:pPr>
        <w:ind w:left="18831" w:hanging="1800"/>
      </w:pPr>
    </w:lvl>
    <w:lvl w:ilvl="8">
      <w:start w:val="1"/>
      <w:numFmt w:val="decimal"/>
      <w:lvlText w:val="%1.%2.%3.%4.%5.%6.%7.%8.%9."/>
      <w:lvlJc w:val="left"/>
      <w:pPr>
        <w:ind w:left="21624" w:hanging="2160"/>
      </w:p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lvl w:ilvl="0">
      <w:start w:val="2"/>
      <w:numFmt w:val="decimal"/>
      <w:lvlText w:val="%1"/>
      <w:lvlJc w:val="left"/>
      <w:pPr>
        <w:ind w:left="375" w:hanging="375"/>
      </w:pPr>
    </w:lvl>
    <w:lvl w:ilvl="1">
      <w:start w:val="5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50"/>
  <w:embedSystemFonts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Body Text Indent" w:locked="1" w:uiPriority="0" w:semiHidden="0" w:unhideWhenUsed="0"/>
    <w:lsdException w:name="Subtitle" w:locked="1" w:uiPriority="0" w:semiHidden="0" w:unhideWhenUsed="0" w:qFormat="1"/>
    <w:lsdException w:name="Body Text Indent 3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b3307"/>
    <w:pPr>
      <w:widowControl/>
      <w:bidi w:val="0"/>
      <w:ind w:firstLine="567"/>
      <w:jc w:val="both"/>
    </w:pPr>
    <w:rPr>
      <w:rFonts w:ascii="Calibri" w:hAnsi="Calibri" w:eastAsia="Times New Roman" w:cs="Calibri"/>
      <w:color w:val="00000A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uiPriority w:val="99"/>
    <w:semiHidden/>
    <w:rsid w:val="00813901"/>
    <w:rPr>
      <w:color w:val="00000A"/>
      <w:u w:val="single"/>
    </w:rPr>
  </w:style>
  <w:style w:type="character" w:styleId="Style15" w:customStyle="1">
    <w:name w:val="Основной текст с отступом Знак"/>
    <w:link w:val="a7"/>
    <w:uiPriority w:val="99"/>
    <w:semiHidden/>
    <w:qFormat/>
    <w:locked/>
    <w:rsid w:val="0041061b"/>
    <w:rPr>
      <w:rFonts w:ascii="Times New Roman" w:hAnsi="Times New Roman" w:cs="Times New Roman"/>
      <w:sz w:val="24"/>
      <w:szCs w:val="24"/>
    </w:rPr>
  </w:style>
  <w:style w:type="character" w:styleId="Style16" w:customStyle="1">
    <w:name w:val="Текст выноски Знак"/>
    <w:link w:val="a9"/>
    <w:uiPriority w:val="99"/>
    <w:semiHidden/>
    <w:qFormat/>
    <w:locked/>
    <w:rsid w:val="00b06704"/>
    <w:rPr>
      <w:rFonts w:ascii="Tahoma" w:hAnsi="Tahoma" w:cs="Tahoma"/>
      <w:sz w:val="16"/>
      <w:szCs w:val="16"/>
    </w:rPr>
  </w:style>
  <w:style w:type="character" w:styleId="0" w:customStyle="1">
    <w:name w:val="0Абзац Знак"/>
    <w:link w:val="0"/>
    <w:uiPriority w:val="99"/>
    <w:qFormat/>
    <w:locked/>
    <w:rsid w:val="00613095"/>
    <w:rPr>
      <w:rFonts w:ascii="Times New Roman" w:hAnsi="Times New Roman" w:cs="Times New Roman"/>
      <w:color w:val="000000"/>
      <w:sz w:val="28"/>
      <w:szCs w:val="28"/>
    </w:rPr>
  </w:style>
  <w:style w:type="character" w:styleId="FontStyle36" w:customStyle="1">
    <w:name w:val="Font Style36"/>
    <w:uiPriority w:val="99"/>
    <w:qFormat/>
    <w:rsid w:val="00fc423e"/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Style17" w:customStyle="1">
    <w:name w:val="Верхний колонтитул Знак"/>
    <w:basedOn w:val="DefaultParagraphFont"/>
    <w:link w:val="ac"/>
    <w:uiPriority w:val="99"/>
    <w:qFormat/>
    <w:locked/>
    <w:rsid w:val="002909df"/>
    <w:rPr/>
  </w:style>
  <w:style w:type="character" w:styleId="Style18" w:customStyle="1">
    <w:name w:val="Нижний колонтитул Знак"/>
    <w:basedOn w:val="DefaultParagraphFont"/>
    <w:link w:val="ae"/>
    <w:uiPriority w:val="99"/>
    <w:qFormat/>
    <w:locked/>
    <w:rsid w:val="002909df"/>
    <w:rPr/>
  </w:style>
  <w:style w:type="character" w:styleId="Style19" w:customStyle="1">
    <w:name w:val="Основной текст Знак"/>
    <w:basedOn w:val="DefaultParagraphFont"/>
    <w:link w:val="af1"/>
    <w:uiPriority w:val="99"/>
    <w:semiHidden/>
    <w:qFormat/>
    <w:locked/>
    <w:rsid w:val="00f7065c"/>
    <w:rPr/>
  </w:style>
  <w:style w:type="character" w:styleId="3" w:customStyle="1">
    <w:name w:val="Основной текст с отступом 3 Знак"/>
    <w:link w:val="3"/>
    <w:uiPriority w:val="99"/>
    <w:qFormat/>
    <w:locked/>
    <w:rsid w:val="00d94447"/>
    <w:rPr>
      <w:rFonts w:ascii="Times New Roman" w:hAnsi="Times New Roman" w:cs="Times New Roman"/>
      <w:sz w:val="16"/>
      <w:szCs w:val="16"/>
    </w:rPr>
  </w:style>
  <w:style w:type="character" w:styleId="ConsPlusNormal" w:customStyle="1">
    <w:name w:val="ConsPlusNormal Знак"/>
    <w:link w:val="ConsPlusNormal"/>
    <w:qFormat/>
    <w:locked/>
    <w:rsid w:val="0024548b"/>
    <w:rPr>
      <w:rFonts w:ascii="Arial" w:hAnsi="Arial" w:cs="Arial"/>
      <w:sz w:val="22"/>
      <w:szCs w:val="22"/>
      <w:lang w:val="ru-RU" w:eastAsia="ru-RU"/>
    </w:rPr>
  </w:style>
  <w:style w:type="character" w:styleId="ConsPlusNormal1" w:customStyle="1">
    <w:name w:val="ConsPlusNormal Знак Знак Знак Знак"/>
    <w:link w:val="ConsPlusNormal2"/>
    <w:qFormat/>
    <w:locked/>
    <w:rsid w:val="00b04b59"/>
    <w:rPr>
      <w:rFonts w:ascii="Arial" w:hAnsi="Arial" w:cs="Arial"/>
      <w:sz w:val="24"/>
      <w:szCs w:val="24"/>
    </w:rPr>
  </w:style>
  <w:style w:type="paragraph" w:styleId="Style20">
    <w:name w:val="Заголовок"/>
    <w:basedOn w:val="Normal"/>
    <w:next w:val="Style21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1">
    <w:name w:val="Основной текст"/>
    <w:basedOn w:val="Normal"/>
    <w:link w:val="af2"/>
    <w:uiPriority w:val="99"/>
    <w:semiHidden/>
    <w:rsid w:val="00f7065c"/>
    <w:pPr>
      <w:spacing w:before="0" w:after="120"/>
    </w:pPr>
    <w:rPr/>
  </w:style>
  <w:style w:type="paragraph" w:styleId="Style22">
    <w:name w:val="Список"/>
    <w:basedOn w:val="Style21"/>
    <w:pPr/>
    <w:rPr>
      <w:rFonts w:cs="Mangal"/>
    </w:rPr>
  </w:style>
  <w:style w:type="paragraph" w:styleId="Style23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99"/>
    <w:qFormat/>
    <w:rsid w:val="00ef4c07"/>
    <w:pPr>
      <w:ind w:left="720" w:firstLine="567"/>
    </w:pPr>
    <w:rPr/>
  </w:style>
  <w:style w:type="paragraph" w:styleId="ConsPlusCell" w:customStyle="1">
    <w:name w:val="ConsPlusCell"/>
    <w:uiPriority w:val="99"/>
    <w:qFormat/>
    <w:rsid w:val="0095227d"/>
    <w:pPr>
      <w:widowControl w:val="false"/>
      <w:bidi w:val="0"/>
      <w:ind w:firstLine="567"/>
      <w:jc w:val="both"/>
    </w:pPr>
    <w:rPr>
      <w:rFonts w:ascii="Calibri" w:hAnsi="Calibri" w:eastAsia="Times New Roman" w:cs="Calibri"/>
      <w:color w:val="00000A"/>
      <w:sz w:val="22"/>
      <w:szCs w:val="22"/>
      <w:lang w:val="ru-RU" w:eastAsia="ru-RU" w:bidi="ar-SA"/>
    </w:rPr>
  </w:style>
  <w:style w:type="paragraph" w:styleId="ConsPlusNonformat" w:customStyle="1">
    <w:name w:val="ConsPlusNonformat"/>
    <w:uiPriority w:val="99"/>
    <w:qFormat/>
    <w:rsid w:val="00246fd8"/>
    <w:pPr>
      <w:widowControl w:val="false"/>
      <w:bidi w:val="0"/>
      <w:ind w:firstLine="567"/>
      <w:jc w:val="both"/>
    </w:pPr>
    <w:rPr>
      <w:rFonts w:ascii="Courier New" w:hAnsi="Courier New" w:eastAsia="Times New Roman" w:cs="Courier New"/>
      <w:color w:val="00000A"/>
      <w:sz w:val="22"/>
      <w:szCs w:val="20"/>
      <w:lang w:val="ru-RU" w:eastAsia="ru-RU" w:bidi="ar-SA"/>
    </w:rPr>
  </w:style>
  <w:style w:type="paragraph" w:styleId="1" w:customStyle="1">
    <w:name w:val="Знак1"/>
    <w:basedOn w:val="Normal"/>
    <w:uiPriority w:val="99"/>
    <w:qFormat/>
    <w:rsid w:val="00381d2f"/>
    <w:pPr>
      <w:spacing w:beforeAutospacing="1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Style25" w:customStyle="1">
    <w:name w:val="Стиль"/>
    <w:uiPriority w:val="99"/>
    <w:qFormat/>
    <w:rsid w:val="00863349"/>
    <w:pPr>
      <w:widowControl w:val="false"/>
      <w:bidi w:val="0"/>
      <w:ind w:firstLine="567"/>
      <w:jc w:val="both"/>
    </w:pPr>
    <w:rPr>
      <w:rFonts w:ascii="Calibri" w:hAnsi="Calibri" w:eastAsia="Times New Roman" w:cs="Calibri"/>
      <w:color w:val="00000A"/>
      <w:sz w:val="22"/>
      <w:szCs w:val="20"/>
      <w:lang w:val="ru-RU" w:eastAsia="ru-RU" w:bidi="ar-SA"/>
    </w:rPr>
  </w:style>
  <w:style w:type="paragraph" w:styleId="Western" w:customStyle="1">
    <w:name w:val="western"/>
    <w:basedOn w:val="Normal"/>
    <w:uiPriority w:val="99"/>
    <w:qFormat/>
    <w:rsid w:val="00bc78f5"/>
    <w:pPr>
      <w:spacing w:beforeAutospacing="1" w:after="115"/>
      <w:ind w:firstLine="720"/>
    </w:pPr>
    <w:rPr>
      <w:rFonts w:ascii="Arial" w:hAnsi="Arial" w:cs="Arial"/>
      <w:color w:val="000000"/>
      <w:sz w:val="20"/>
      <w:szCs w:val="20"/>
    </w:rPr>
  </w:style>
  <w:style w:type="paragraph" w:styleId="Style26">
    <w:name w:val="Основной текст с отступом"/>
    <w:basedOn w:val="Normal"/>
    <w:link w:val="a8"/>
    <w:uiPriority w:val="99"/>
    <w:semiHidden/>
    <w:rsid w:val="0041061b"/>
    <w:pPr>
      <w:ind w:firstLine="1080"/>
      <w:jc w:val="left"/>
    </w:pPr>
    <w:rPr>
      <w:sz w:val="24"/>
      <w:szCs w:val="24"/>
    </w:rPr>
  </w:style>
  <w:style w:type="paragraph" w:styleId="BalloonText">
    <w:name w:val="Balloon Text"/>
    <w:basedOn w:val="Normal"/>
    <w:link w:val="aa"/>
    <w:uiPriority w:val="99"/>
    <w:semiHidden/>
    <w:qFormat/>
    <w:rsid w:val="00b06704"/>
    <w:pPr/>
    <w:rPr>
      <w:rFonts w:ascii="Tahoma" w:hAnsi="Tahoma" w:cs="Tahoma"/>
      <w:sz w:val="16"/>
      <w:szCs w:val="16"/>
    </w:rPr>
  </w:style>
  <w:style w:type="paragraph" w:styleId="01" w:customStyle="1">
    <w:name w:val="0Абзац"/>
    <w:link w:val="00"/>
    <w:uiPriority w:val="99"/>
    <w:qFormat/>
    <w:rsid w:val="00613095"/>
    <w:pPr>
      <w:widowControl w:val="false"/>
      <w:bidi w:val="0"/>
      <w:spacing w:before="0" w:after="120"/>
      <w:ind w:firstLine="709"/>
      <w:jc w:val="center"/>
    </w:pPr>
    <w:rPr>
      <w:rFonts w:ascii="Calibri" w:hAnsi="Calibri" w:eastAsia="Times New Roman" w:cs="Times New Roman"/>
      <w:color w:val="000000"/>
      <w:sz w:val="28"/>
      <w:szCs w:val="28"/>
      <w:lang w:val="ru-RU" w:eastAsia="ru-RU" w:bidi="ar-SA"/>
    </w:rPr>
  </w:style>
  <w:style w:type="paragraph" w:styleId="NormalWeb">
    <w:name w:val="Normal (Web)"/>
    <w:basedOn w:val="Normal"/>
    <w:uiPriority w:val="99"/>
    <w:qFormat/>
    <w:rsid w:val="00613095"/>
    <w:pPr/>
    <w:rPr>
      <w:sz w:val="24"/>
      <w:szCs w:val="24"/>
    </w:rPr>
  </w:style>
  <w:style w:type="paragraph" w:styleId="Style27">
    <w:name w:val="Верхний колонтитул"/>
    <w:basedOn w:val="Normal"/>
    <w:link w:val="ad"/>
    <w:uiPriority w:val="99"/>
    <w:rsid w:val="002909df"/>
    <w:pPr>
      <w:tabs>
        <w:tab w:val="center" w:pos="4677" w:leader="none"/>
        <w:tab w:val="right" w:pos="9355" w:leader="none"/>
      </w:tabs>
    </w:pPr>
    <w:rPr/>
  </w:style>
  <w:style w:type="paragraph" w:styleId="Style28">
    <w:name w:val="Нижний колонтитул"/>
    <w:basedOn w:val="Normal"/>
    <w:link w:val="af"/>
    <w:uiPriority w:val="99"/>
    <w:rsid w:val="002909df"/>
    <w:pPr>
      <w:tabs>
        <w:tab w:val="center" w:pos="4677" w:leader="none"/>
        <w:tab w:val="right" w:pos="9355" w:leader="none"/>
      </w:tabs>
    </w:pPr>
    <w:rPr/>
  </w:style>
  <w:style w:type="paragraph" w:styleId="NoSpacing">
    <w:name w:val="No Spacing"/>
    <w:uiPriority w:val="99"/>
    <w:qFormat/>
    <w:rsid w:val="008552e2"/>
    <w:pPr>
      <w:widowControl/>
      <w:bidi w:val="0"/>
      <w:ind w:firstLine="567"/>
      <w:jc w:val="left"/>
    </w:pPr>
    <w:rPr>
      <w:rFonts w:ascii="Calibri" w:hAnsi="Calibri" w:eastAsia="Times New Roman" w:cs="Calibri"/>
      <w:color w:val="00000A"/>
      <w:sz w:val="22"/>
      <w:szCs w:val="22"/>
      <w:lang w:val="ru-RU" w:eastAsia="ru-RU" w:bidi="ar-SA"/>
    </w:rPr>
  </w:style>
  <w:style w:type="paragraph" w:styleId="11" w:customStyle="1">
    <w:name w:val="1Главный"/>
    <w:basedOn w:val="Normal"/>
    <w:uiPriority w:val="99"/>
    <w:qFormat/>
    <w:rsid w:val="00ca7a9a"/>
    <w:pPr>
      <w:spacing w:before="0" w:after="120"/>
      <w:ind w:firstLine="709"/>
    </w:pPr>
    <w:rPr>
      <w:sz w:val="28"/>
      <w:szCs w:val="28"/>
    </w:rPr>
  </w:style>
  <w:style w:type="paragraph" w:styleId="ConsPlusTitle" w:customStyle="1">
    <w:name w:val="ConsPlusTitle"/>
    <w:uiPriority w:val="99"/>
    <w:qFormat/>
    <w:rsid w:val="00df5fa2"/>
    <w:pPr>
      <w:widowControl/>
      <w:bidi w:val="0"/>
      <w:ind w:firstLine="567"/>
      <w:jc w:val="left"/>
    </w:pPr>
    <w:rPr>
      <w:rFonts w:ascii="Arial" w:hAnsi="Arial" w:eastAsia="Times New Roman" w:cs="Arial"/>
      <w:b/>
      <w:bCs/>
      <w:color w:val="00000A"/>
      <w:sz w:val="22"/>
      <w:szCs w:val="20"/>
      <w:lang w:val="ru-RU" w:eastAsia="en-US" w:bidi="ar-SA"/>
    </w:rPr>
  </w:style>
  <w:style w:type="paragraph" w:styleId="BodyTextIndent3">
    <w:name w:val="Body Text Indent 3"/>
    <w:basedOn w:val="Normal"/>
    <w:link w:val="30"/>
    <w:uiPriority w:val="99"/>
    <w:qFormat/>
    <w:rsid w:val="00d94447"/>
    <w:pPr>
      <w:spacing w:before="0" w:after="120"/>
      <w:ind w:left="283" w:firstLine="567"/>
      <w:jc w:val="left"/>
    </w:pPr>
    <w:rPr>
      <w:sz w:val="16"/>
      <w:szCs w:val="16"/>
    </w:rPr>
  </w:style>
  <w:style w:type="paragraph" w:styleId="ConsPlusNormal2" w:customStyle="1">
    <w:name w:val="ConsPlusNormal"/>
    <w:link w:val="ConsPlusNormal0"/>
    <w:qFormat/>
    <w:rsid w:val="0024548b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sz w:val="22"/>
      <w:szCs w:val="22"/>
      <w:lang w:val="ru-RU" w:eastAsia="ru-RU" w:bidi="ar-SA"/>
    </w:rPr>
  </w:style>
  <w:style w:type="paragraph" w:styleId="ConsPlusNormal3" w:customStyle="1">
    <w:name w:val="ConsPlusNormal Знак Знак Знак"/>
    <w:link w:val="ConsPlusNormal1"/>
    <w:qFormat/>
    <w:rsid w:val="00b04b59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99"/>
    <w:rsid w:val="001c5c02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9FACA-BAB9-4CB6-9B99-83344AB94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3103</TotalTime>
  <Application>LibreOffice/5.0.4.2$Windows_X86_64 LibreOffice_project/2b9802c1994aa0b7dc6079e128979269cf95bc78</Application>
  <Paragraphs>143</Paragraphs>
  <Company>ФЭУ АШР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2013-09-08T09:43:00Z</dcterms:created>
  <dc:creator>kom5</dc:creator>
  <dc:language>ru-RU</dc:language>
  <cp:lastPrinted>2015-11-09T14:19:00Z</cp:lastPrinted>
  <dcterms:modified xsi:type="dcterms:W3CDTF">2017-01-31T09:16:12Z</dcterms:modified>
  <cp:revision>488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ФЭУ АШР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